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D3D0" w14:textId="77777777" w:rsidR="00DE0F83" w:rsidRDefault="005E26B9">
      <w:pPr>
        <w:spacing w:after="532"/>
        <w:ind w:left="-307"/>
        <w:jc w:val="both"/>
      </w:pPr>
      <w:r>
        <w:rPr>
          <w:rFonts w:ascii="Arial" w:eastAsia="Arial" w:hAnsi="Arial" w:cs="Arial"/>
        </w:rPr>
        <w:t xml:space="preserve"> </w:t>
      </w:r>
    </w:p>
    <w:tbl>
      <w:tblPr>
        <w:tblStyle w:val="TableGrid"/>
        <w:tblW w:w="9631" w:type="dxa"/>
        <w:tblInd w:w="-302" w:type="dxa"/>
        <w:tblCellMar>
          <w:top w:w="48" w:type="dxa"/>
          <w:left w:w="110" w:type="dxa"/>
          <w:right w:w="115" w:type="dxa"/>
        </w:tblCellMar>
        <w:tblLook w:val="04A0" w:firstRow="1" w:lastRow="0" w:firstColumn="1" w:lastColumn="0" w:noHBand="0" w:noVBand="1"/>
      </w:tblPr>
      <w:tblGrid>
        <w:gridCol w:w="1661"/>
        <w:gridCol w:w="7970"/>
      </w:tblGrid>
      <w:tr w:rsidR="00DE0F83" w14:paraId="23FC7CE4" w14:textId="77777777">
        <w:trPr>
          <w:trHeight w:val="302"/>
        </w:trPr>
        <w:tc>
          <w:tcPr>
            <w:tcW w:w="9631" w:type="dxa"/>
            <w:gridSpan w:val="2"/>
            <w:tcBorders>
              <w:top w:val="single" w:sz="4" w:space="0" w:color="000000"/>
              <w:left w:val="single" w:sz="4" w:space="0" w:color="000000"/>
              <w:bottom w:val="single" w:sz="4" w:space="0" w:color="000000"/>
              <w:right w:val="single" w:sz="4" w:space="0" w:color="000000"/>
            </w:tcBorders>
          </w:tcPr>
          <w:p w14:paraId="7CA6BF0E" w14:textId="64F22FB4" w:rsidR="00DE0F83" w:rsidRDefault="00EF50B5">
            <w:r>
              <w:rPr>
                <w:b/>
              </w:rPr>
              <w:t xml:space="preserve">RESUME </w:t>
            </w:r>
            <w:r w:rsidR="005E26B9">
              <w:rPr>
                <w:b/>
              </w:rPr>
              <w:t xml:space="preserve">AF </w:t>
            </w:r>
            <w:r w:rsidR="005E26B9" w:rsidRPr="007B482B">
              <w:rPr>
                <w:b/>
              </w:rPr>
              <w:t>BESTYRELSESMØDE</w:t>
            </w:r>
            <w:r w:rsidR="005E26B9">
              <w:rPr>
                <w:b/>
              </w:rPr>
              <w:t xml:space="preserve"> </w:t>
            </w:r>
          </w:p>
        </w:tc>
      </w:tr>
      <w:tr w:rsidR="00DE0F83" w14:paraId="1E40F3F9" w14:textId="77777777">
        <w:trPr>
          <w:trHeight w:val="302"/>
        </w:trPr>
        <w:tc>
          <w:tcPr>
            <w:tcW w:w="9631" w:type="dxa"/>
            <w:gridSpan w:val="2"/>
            <w:tcBorders>
              <w:top w:val="single" w:sz="4" w:space="0" w:color="000000"/>
              <w:left w:val="single" w:sz="4" w:space="0" w:color="000000"/>
              <w:bottom w:val="single" w:sz="4" w:space="0" w:color="000000"/>
              <w:right w:val="single" w:sz="4" w:space="0" w:color="000000"/>
            </w:tcBorders>
          </w:tcPr>
          <w:p w14:paraId="284FF399" w14:textId="77777777" w:rsidR="00DE0F83" w:rsidRDefault="005E26B9">
            <w:r>
              <w:rPr>
                <w:b/>
                <w:sz w:val="24"/>
              </w:rPr>
              <w:t xml:space="preserve"> </w:t>
            </w:r>
          </w:p>
        </w:tc>
      </w:tr>
      <w:tr w:rsidR="00DE0F83" w14:paraId="27804C23" w14:textId="77777777">
        <w:trPr>
          <w:trHeight w:val="295"/>
        </w:trPr>
        <w:tc>
          <w:tcPr>
            <w:tcW w:w="1661" w:type="dxa"/>
            <w:tcBorders>
              <w:top w:val="single" w:sz="4" w:space="0" w:color="000000"/>
              <w:left w:val="single" w:sz="4" w:space="0" w:color="000000"/>
              <w:bottom w:val="single" w:sz="4" w:space="0" w:color="000000"/>
              <w:right w:val="single" w:sz="4" w:space="0" w:color="000000"/>
            </w:tcBorders>
          </w:tcPr>
          <w:p w14:paraId="3CDC648F" w14:textId="77777777" w:rsidR="00DE0F83" w:rsidRDefault="005E26B9">
            <w:r>
              <w:t xml:space="preserve">Dato: </w:t>
            </w:r>
          </w:p>
        </w:tc>
        <w:tc>
          <w:tcPr>
            <w:tcW w:w="7970" w:type="dxa"/>
            <w:tcBorders>
              <w:top w:val="single" w:sz="4" w:space="0" w:color="000000"/>
              <w:left w:val="single" w:sz="4" w:space="0" w:color="000000"/>
              <w:bottom w:val="single" w:sz="4" w:space="0" w:color="000000"/>
              <w:right w:val="single" w:sz="4" w:space="0" w:color="000000"/>
            </w:tcBorders>
          </w:tcPr>
          <w:p w14:paraId="6E0A9844" w14:textId="77777777" w:rsidR="00DE0F83" w:rsidRDefault="005E26B9">
            <w:r>
              <w:t xml:space="preserve">23.11.2019 </w:t>
            </w:r>
          </w:p>
        </w:tc>
      </w:tr>
      <w:tr w:rsidR="00DE0F83" w14:paraId="40AAA44F" w14:textId="77777777">
        <w:trPr>
          <w:trHeight w:val="293"/>
        </w:trPr>
        <w:tc>
          <w:tcPr>
            <w:tcW w:w="1661" w:type="dxa"/>
            <w:tcBorders>
              <w:top w:val="single" w:sz="4" w:space="0" w:color="000000"/>
              <w:left w:val="single" w:sz="4" w:space="0" w:color="000000"/>
              <w:bottom w:val="single" w:sz="4" w:space="0" w:color="000000"/>
              <w:right w:val="single" w:sz="4" w:space="0" w:color="000000"/>
            </w:tcBorders>
          </w:tcPr>
          <w:p w14:paraId="7FF58FB0" w14:textId="77777777" w:rsidR="00DE0F83" w:rsidRDefault="005E26B9">
            <w:r>
              <w:t xml:space="preserve">Sted: </w:t>
            </w:r>
          </w:p>
        </w:tc>
        <w:tc>
          <w:tcPr>
            <w:tcW w:w="7970" w:type="dxa"/>
            <w:tcBorders>
              <w:top w:val="single" w:sz="4" w:space="0" w:color="000000"/>
              <w:left w:val="single" w:sz="4" w:space="0" w:color="000000"/>
              <w:bottom w:val="single" w:sz="4" w:space="0" w:color="000000"/>
              <w:right w:val="single" w:sz="4" w:space="0" w:color="000000"/>
            </w:tcBorders>
          </w:tcPr>
          <w:p w14:paraId="0A963CE4" w14:textId="77777777" w:rsidR="00DE0F83" w:rsidRDefault="005E26B9">
            <w:r>
              <w:t xml:space="preserve">Nyborg Idræts- og Fritidscenter, Storebæltsvej 15, 5800 Nyborg </w:t>
            </w:r>
          </w:p>
        </w:tc>
      </w:tr>
      <w:tr w:rsidR="00DE0F83" w14:paraId="6D006EFA" w14:textId="77777777">
        <w:trPr>
          <w:trHeight w:val="293"/>
        </w:trPr>
        <w:tc>
          <w:tcPr>
            <w:tcW w:w="1661" w:type="dxa"/>
            <w:tcBorders>
              <w:top w:val="single" w:sz="4" w:space="0" w:color="000000"/>
              <w:left w:val="single" w:sz="4" w:space="0" w:color="000000"/>
              <w:bottom w:val="single" w:sz="4" w:space="0" w:color="000000"/>
              <w:right w:val="single" w:sz="4" w:space="0" w:color="000000"/>
            </w:tcBorders>
          </w:tcPr>
          <w:p w14:paraId="6D6E4E5A" w14:textId="77777777" w:rsidR="00DE0F83" w:rsidRDefault="005E26B9">
            <w:r>
              <w:t xml:space="preserve">Til stede: </w:t>
            </w:r>
          </w:p>
        </w:tc>
        <w:tc>
          <w:tcPr>
            <w:tcW w:w="7970" w:type="dxa"/>
            <w:tcBorders>
              <w:top w:val="single" w:sz="4" w:space="0" w:color="000000"/>
              <w:left w:val="single" w:sz="4" w:space="0" w:color="000000"/>
              <w:bottom w:val="single" w:sz="4" w:space="0" w:color="000000"/>
              <w:right w:val="single" w:sz="4" w:space="0" w:color="000000"/>
            </w:tcBorders>
          </w:tcPr>
          <w:p w14:paraId="3BC0C2DD" w14:textId="77777777" w:rsidR="00DE0F83" w:rsidRDefault="005E26B9">
            <w:r>
              <w:t xml:space="preserve">Birthe, Birgit, Helle, Hanne, Anita, Birgitte, Berit, Stella, Annemarie og Nanna </w:t>
            </w:r>
          </w:p>
        </w:tc>
      </w:tr>
      <w:tr w:rsidR="00DE0F83" w14:paraId="56334DB5" w14:textId="77777777">
        <w:trPr>
          <w:trHeight w:val="293"/>
        </w:trPr>
        <w:tc>
          <w:tcPr>
            <w:tcW w:w="1661" w:type="dxa"/>
            <w:tcBorders>
              <w:top w:val="single" w:sz="4" w:space="0" w:color="000000"/>
              <w:left w:val="single" w:sz="4" w:space="0" w:color="000000"/>
              <w:bottom w:val="single" w:sz="4" w:space="0" w:color="000000"/>
              <w:right w:val="single" w:sz="4" w:space="0" w:color="000000"/>
            </w:tcBorders>
          </w:tcPr>
          <w:p w14:paraId="44AE4CBB" w14:textId="77777777" w:rsidR="00DE0F83" w:rsidRDefault="005E26B9">
            <w:r>
              <w:t xml:space="preserve">Fraværende: </w:t>
            </w:r>
          </w:p>
        </w:tc>
        <w:tc>
          <w:tcPr>
            <w:tcW w:w="7970" w:type="dxa"/>
            <w:tcBorders>
              <w:top w:val="single" w:sz="4" w:space="0" w:color="000000"/>
              <w:left w:val="single" w:sz="4" w:space="0" w:color="000000"/>
              <w:bottom w:val="single" w:sz="4" w:space="0" w:color="000000"/>
              <w:right w:val="single" w:sz="4" w:space="0" w:color="000000"/>
            </w:tcBorders>
          </w:tcPr>
          <w:p w14:paraId="6DC26897" w14:textId="77777777" w:rsidR="00DE0F83" w:rsidRDefault="005E26B9">
            <w:r>
              <w:t xml:space="preserve">Mette, Marian, Jannie, Gillian </w:t>
            </w:r>
          </w:p>
        </w:tc>
      </w:tr>
      <w:tr w:rsidR="00DE0F83" w14:paraId="235D7AAB" w14:textId="77777777">
        <w:trPr>
          <w:trHeight w:val="293"/>
        </w:trPr>
        <w:tc>
          <w:tcPr>
            <w:tcW w:w="1661" w:type="dxa"/>
            <w:tcBorders>
              <w:top w:val="single" w:sz="4" w:space="0" w:color="000000"/>
              <w:left w:val="single" w:sz="4" w:space="0" w:color="000000"/>
              <w:bottom w:val="single" w:sz="4" w:space="0" w:color="000000"/>
              <w:right w:val="single" w:sz="4" w:space="0" w:color="000000"/>
            </w:tcBorders>
          </w:tcPr>
          <w:p w14:paraId="0939057B" w14:textId="77777777" w:rsidR="00DE0F83" w:rsidRDefault="005E26B9">
            <w:r>
              <w:t xml:space="preserve">Referent: </w:t>
            </w:r>
          </w:p>
        </w:tc>
        <w:tc>
          <w:tcPr>
            <w:tcW w:w="7970" w:type="dxa"/>
            <w:tcBorders>
              <w:top w:val="single" w:sz="4" w:space="0" w:color="000000"/>
              <w:left w:val="single" w:sz="4" w:space="0" w:color="000000"/>
              <w:bottom w:val="single" w:sz="4" w:space="0" w:color="000000"/>
              <w:right w:val="single" w:sz="4" w:space="0" w:color="000000"/>
            </w:tcBorders>
          </w:tcPr>
          <w:p w14:paraId="6B93E24C" w14:textId="77777777" w:rsidR="00DE0F83" w:rsidRDefault="005E26B9">
            <w:r>
              <w:t xml:space="preserve">Annemarie og Nanna </w:t>
            </w:r>
          </w:p>
        </w:tc>
      </w:tr>
    </w:tbl>
    <w:p w14:paraId="677C7209" w14:textId="17D9328A" w:rsidR="00DE0F83" w:rsidRDefault="005E26B9">
      <w:pPr>
        <w:spacing w:after="0"/>
        <w:ind w:left="-307"/>
        <w:jc w:val="both"/>
      </w:pPr>
      <w:r>
        <w:t xml:space="preserve">  </w:t>
      </w:r>
    </w:p>
    <w:tbl>
      <w:tblPr>
        <w:tblStyle w:val="TableGrid"/>
        <w:tblW w:w="9653" w:type="dxa"/>
        <w:tblInd w:w="-302" w:type="dxa"/>
        <w:tblCellMar>
          <w:top w:w="12" w:type="dxa"/>
          <w:left w:w="108" w:type="dxa"/>
          <w:right w:w="72" w:type="dxa"/>
        </w:tblCellMar>
        <w:tblLook w:val="04A0" w:firstRow="1" w:lastRow="0" w:firstColumn="1" w:lastColumn="0" w:noHBand="0" w:noVBand="1"/>
      </w:tblPr>
      <w:tblGrid>
        <w:gridCol w:w="9653"/>
      </w:tblGrid>
      <w:tr w:rsidR="007B482B" w14:paraId="388277DE" w14:textId="77777777" w:rsidTr="007534AB">
        <w:trPr>
          <w:trHeight w:val="302"/>
          <w:tblHeader/>
        </w:trPr>
        <w:tc>
          <w:tcPr>
            <w:tcW w:w="9653" w:type="dxa"/>
          </w:tcPr>
          <w:p w14:paraId="2C2FB04B" w14:textId="3A21BA46" w:rsidR="007B482B" w:rsidRDefault="007B482B">
            <w:pPr>
              <w:ind w:left="3"/>
            </w:pPr>
            <w:r>
              <w:rPr>
                <w:b/>
                <w:sz w:val="24"/>
              </w:rPr>
              <w:t>RESUME</w:t>
            </w:r>
            <w:r>
              <w:t xml:space="preserve"> </w:t>
            </w:r>
          </w:p>
        </w:tc>
      </w:tr>
      <w:tr w:rsidR="001408A8" w14:paraId="74FBDD31" w14:textId="77777777" w:rsidTr="007534AB">
        <w:trPr>
          <w:trHeight w:val="548"/>
        </w:trPr>
        <w:tc>
          <w:tcPr>
            <w:tcW w:w="9653" w:type="dxa"/>
          </w:tcPr>
          <w:p w14:paraId="149CCE31" w14:textId="3C153F2D" w:rsidR="001408A8" w:rsidRPr="001408A8" w:rsidRDefault="001408A8">
            <w:pPr>
              <w:rPr>
                <w:sz w:val="24"/>
                <w:szCs w:val="24"/>
              </w:rPr>
            </w:pPr>
            <w:r w:rsidRPr="001408A8">
              <w:rPr>
                <w:b/>
                <w:sz w:val="24"/>
                <w:szCs w:val="24"/>
              </w:rPr>
              <w:t xml:space="preserve">Information fra bestyrelsen - ex. Patientforeningsmøder </w:t>
            </w:r>
          </w:p>
          <w:p w14:paraId="5E9EF98D" w14:textId="77777777" w:rsidR="001408A8" w:rsidRDefault="001408A8">
            <w:r>
              <w:rPr>
                <w:b/>
              </w:rPr>
              <w:t xml:space="preserve"> </w:t>
            </w:r>
          </w:p>
        </w:tc>
      </w:tr>
      <w:tr w:rsidR="001408A8" w14:paraId="14924D7C" w14:textId="77777777" w:rsidTr="007534AB">
        <w:trPr>
          <w:trHeight w:val="548"/>
        </w:trPr>
        <w:tc>
          <w:tcPr>
            <w:tcW w:w="9653" w:type="dxa"/>
          </w:tcPr>
          <w:p w14:paraId="6886E716" w14:textId="77777777" w:rsidR="001408A8" w:rsidRDefault="001408A8" w:rsidP="00493A27">
            <w:r>
              <w:rPr>
                <w:b/>
              </w:rPr>
              <w:t xml:space="preserve">ESMO - Barcelona </w:t>
            </w:r>
          </w:p>
          <w:p w14:paraId="1A5C2943" w14:textId="77777777" w:rsidR="001408A8" w:rsidRDefault="001408A8" w:rsidP="00493A27">
            <w:pPr>
              <w:spacing w:line="239" w:lineRule="auto"/>
            </w:pPr>
            <w:r>
              <w:t xml:space="preserve">Birthe deltog i 2 dage i ESMO, Barcelona i september. Formålet var at høre de nye resultater af forsøgene PRIMA, PAOLA1 og </w:t>
            </w:r>
            <w:proofErr w:type="spellStart"/>
            <w:r>
              <w:t>Velia</w:t>
            </w:r>
            <w:proofErr w:type="spellEnd"/>
            <w:r>
              <w:t xml:space="preserve">. Eksperternes konklusion var, at parp skal tilbydes til alle kvinder med high-grade serøs æggestokkræft uanset BRCA-mutation. Der kommer en artikel i næste KIU-blad. </w:t>
            </w:r>
          </w:p>
          <w:p w14:paraId="44F932B8" w14:textId="2769E6FE" w:rsidR="001408A8" w:rsidRDefault="001408A8">
            <w:pPr>
              <w:rPr>
                <w:b/>
              </w:rPr>
            </w:pPr>
          </w:p>
          <w:p w14:paraId="419F777D" w14:textId="77777777" w:rsidR="001408A8" w:rsidRDefault="001408A8" w:rsidP="00077CFD">
            <w:r>
              <w:rPr>
                <w:b/>
              </w:rPr>
              <w:t xml:space="preserve">ESGO ENGAGE i Athen </w:t>
            </w:r>
          </w:p>
          <w:p w14:paraId="1DB7D9B1" w14:textId="5B78CE10" w:rsidR="001408A8" w:rsidRDefault="001408A8" w:rsidP="00077CFD">
            <w:r>
              <w:t>Birthe og Helle deltog. Helle i 3 dage og Birthe i 5, fordi hun var blevet bedt om at holde oplæg for lægerne om genetisk testning fra et patientperspektiv. ESGO ENGAGE betaler for formandens deltager, så derfor er det muligt, at der er to fra bestyrelsen som deltager. Birthe hold</w:t>
            </w:r>
            <w:r w:rsidR="005B3861">
              <w:t>t</w:t>
            </w:r>
            <w:r>
              <w:t xml:space="preserve"> oplæg om </w:t>
            </w:r>
            <w:proofErr w:type="spellStart"/>
            <w:r>
              <w:t>Clinical</w:t>
            </w:r>
            <w:proofErr w:type="spellEnd"/>
            <w:r>
              <w:t xml:space="preserve"> Trial</w:t>
            </w:r>
            <w:r w:rsidR="005B3861">
              <w:t>s</w:t>
            </w:r>
            <w:r>
              <w:t xml:space="preserve"> Project med involvering af patientrepræsentanter i kliniske forsøg. Birthe blev genvalgt </w:t>
            </w:r>
          </w:p>
          <w:p w14:paraId="312728A1" w14:textId="0017E6DF" w:rsidR="001408A8" w:rsidRDefault="001408A8" w:rsidP="00077CFD">
            <w:r>
              <w:t xml:space="preserve">som </w:t>
            </w:r>
            <w:proofErr w:type="spellStart"/>
            <w:r>
              <w:t>Executive</w:t>
            </w:r>
            <w:proofErr w:type="spellEnd"/>
            <w:r>
              <w:t xml:space="preserve"> Board </w:t>
            </w:r>
            <w:proofErr w:type="spellStart"/>
            <w:r>
              <w:t>Member</w:t>
            </w:r>
            <w:proofErr w:type="spellEnd"/>
            <w:r>
              <w:t xml:space="preserve"> af ENGAGe. Det var nogle spændende dage, hvor vi også udveksler erfaringer med repræsentanter fra andre patientforeninger i Europa</w:t>
            </w:r>
          </w:p>
          <w:p w14:paraId="464E6D59" w14:textId="77777777" w:rsidR="001408A8" w:rsidRDefault="001408A8" w:rsidP="00077CFD">
            <w:pPr>
              <w:spacing w:line="239" w:lineRule="auto"/>
            </w:pPr>
            <w:r>
              <w:t xml:space="preserve">Vigtigt at uddanne patientrepræsentanter, som får så megen indsigt i forsøg, så de er i stand til at være med i kliniske forsøg. Der kommer en artikel i næste KIU-blad. </w:t>
            </w:r>
          </w:p>
          <w:p w14:paraId="49C5C666" w14:textId="35EE1DE1" w:rsidR="001408A8" w:rsidRDefault="001408A8" w:rsidP="001408A8">
            <w:pPr>
              <w:spacing w:after="24"/>
            </w:pPr>
          </w:p>
          <w:p w14:paraId="43591371" w14:textId="77777777" w:rsidR="001408A8" w:rsidRDefault="001408A8" w:rsidP="00077CFD">
            <w:r>
              <w:rPr>
                <w:b/>
              </w:rPr>
              <w:t xml:space="preserve">Niraparib til dem uden BRCA-mutation </w:t>
            </w:r>
          </w:p>
          <w:p w14:paraId="4B4BAE77" w14:textId="0E168C3F" w:rsidR="001408A8" w:rsidRDefault="001408A8" w:rsidP="00077CFD">
            <w:r>
              <w:t xml:space="preserve">Der har virkelig være fokus på den manglende godkendelse både i TV og radio. Der er en gruppe patienter, som vil henvende sig til Sundhedsudvalget om problematikken, hvor Birthe har udarbejdet et brev til Sundhedsudvalget, som er blevet sendt sammen med en patienthistorie. Et KIU-medlem har også haft kontakt til Ekstrabladet, som desværre har haft en artikel, </w:t>
            </w:r>
            <w:r w:rsidR="005B3861">
              <w:t>hvor fakta ikke var helt korrekte. K</w:t>
            </w:r>
            <w:r>
              <w:t xml:space="preserve">IU er ikke ansvarlig for dette. Hvis KIU er citeret i en artikel, skal vi kunne stå inde for, hvad der skrives. </w:t>
            </w:r>
            <w:r w:rsidR="005B3861">
              <w:t xml:space="preserve">Der blev dog gjort opmærksom på problemstillingen, så det var ok. </w:t>
            </w:r>
          </w:p>
          <w:p w14:paraId="3170F1F5" w14:textId="1625745F" w:rsidR="001408A8" w:rsidRDefault="001408A8" w:rsidP="00077CFD"/>
          <w:p w14:paraId="5A53D733" w14:textId="77777777" w:rsidR="001408A8" w:rsidRDefault="001408A8" w:rsidP="001408A8">
            <w:r>
              <w:rPr>
                <w:b/>
              </w:rPr>
              <w:t xml:space="preserve">FSK Landskursus </w:t>
            </w:r>
          </w:p>
          <w:p w14:paraId="5D73A7D3" w14:textId="77777777" w:rsidR="001408A8" w:rsidRDefault="001408A8" w:rsidP="001408A8">
            <w:pPr>
              <w:spacing w:line="239" w:lineRule="auto"/>
            </w:pPr>
            <w:r>
              <w:t xml:space="preserve">Tema: Hvordan sikres bedre og smidigere sektorovergange til gavn for patienter med kræft og deres pårørende. Mette og Nanna deltog. Meget fint at deltage med stand og høre de forskellige oplæg. Meget positivt og engageret sygeplejepersonale. Der er en artikel i næste KIU-blad. </w:t>
            </w:r>
          </w:p>
          <w:p w14:paraId="38FA43DC" w14:textId="77777777" w:rsidR="001408A8" w:rsidRDefault="001408A8" w:rsidP="00077CFD">
            <w:pPr>
              <w:ind w:left="72"/>
            </w:pPr>
            <w:r>
              <w:t xml:space="preserve"> </w:t>
            </w:r>
          </w:p>
          <w:p w14:paraId="24CF593E" w14:textId="120F0563" w:rsidR="001408A8" w:rsidRDefault="001408A8" w:rsidP="00077CFD">
            <w:pPr>
              <w:rPr>
                <w:b/>
              </w:rPr>
            </w:pPr>
            <w:r>
              <w:rPr>
                <w:b/>
              </w:rPr>
              <w:t>National Politisk Kræftkonference 2020</w:t>
            </w:r>
            <w:r w:rsidR="005B3861">
              <w:rPr>
                <w:b/>
              </w:rPr>
              <w:t xml:space="preserve"> </w:t>
            </w:r>
            <w:bookmarkStart w:id="0" w:name="_GoBack"/>
            <w:bookmarkEnd w:id="0"/>
            <w:r>
              <w:rPr>
                <w:rFonts w:ascii="Arial" w:eastAsia="Arial" w:hAnsi="Arial" w:cs="Arial"/>
                <w:b/>
              </w:rPr>
              <w:t>mandag 3. februar 2020</w:t>
            </w:r>
            <w:r>
              <w:rPr>
                <w:b/>
              </w:rPr>
              <w:t xml:space="preserve"> </w:t>
            </w:r>
            <w:r>
              <w:t>Birthe er blevet bedt om at møde op hos P.R. bureauet LEAD, som vil interviewe Birthe til brug for konferencen</w:t>
            </w:r>
          </w:p>
          <w:p w14:paraId="69819CF5" w14:textId="5519C8B9" w:rsidR="001408A8" w:rsidRDefault="001408A8">
            <w:pPr>
              <w:rPr>
                <w:b/>
              </w:rPr>
            </w:pPr>
          </w:p>
          <w:p w14:paraId="59363161" w14:textId="77777777" w:rsidR="007534AB" w:rsidRDefault="007534AB">
            <w:pPr>
              <w:rPr>
                <w:b/>
              </w:rPr>
            </w:pPr>
          </w:p>
          <w:p w14:paraId="3C5FBB1D" w14:textId="271B9DCE" w:rsidR="001408A8" w:rsidRDefault="001408A8">
            <w:pPr>
              <w:rPr>
                <w:b/>
              </w:rPr>
            </w:pPr>
          </w:p>
        </w:tc>
      </w:tr>
      <w:tr w:rsidR="001408A8" w14:paraId="7289F895" w14:textId="77777777" w:rsidTr="007534AB">
        <w:tblPrEx>
          <w:tblCellMar>
            <w:top w:w="39" w:type="dxa"/>
            <w:left w:w="36" w:type="dxa"/>
            <w:right w:w="106" w:type="dxa"/>
          </w:tblCellMar>
        </w:tblPrEx>
        <w:trPr>
          <w:trHeight w:val="547"/>
        </w:trPr>
        <w:tc>
          <w:tcPr>
            <w:tcW w:w="9653" w:type="dxa"/>
          </w:tcPr>
          <w:p w14:paraId="7D096BD2" w14:textId="77777777" w:rsidR="001408A8" w:rsidRPr="001408A8" w:rsidRDefault="001408A8">
            <w:pPr>
              <w:ind w:left="72"/>
              <w:rPr>
                <w:sz w:val="24"/>
                <w:szCs w:val="24"/>
              </w:rPr>
            </w:pPr>
            <w:r w:rsidRPr="001408A8">
              <w:rPr>
                <w:b/>
                <w:sz w:val="24"/>
                <w:szCs w:val="24"/>
              </w:rPr>
              <w:lastRenderedPageBreak/>
              <w:t xml:space="preserve">Kommende møder og konferencer ud af huset </w:t>
            </w:r>
          </w:p>
          <w:p w14:paraId="6D7A4728" w14:textId="77777777" w:rsidR="001408A8" w:rsidRDefault="001408A8">
            <w:pPr>
              <w:ind w:left="72"/>
            </w:pPr>
            <w:r>
              <w:rPr>
                <w:b/>
              </w:rPr>
              <w:t xml:space="preserve"> </w:t>
            </w:r>
          </w:p>
        </w:tc>
      </w:tr>
      <w:tr w:rsidR="001408A8" w14:paraId="5A759DA2" w14:textId="77777777" w:rsidTr="007534AB">
        <w:tblPrEx>
          <w:tblCellMar>
            <w:top w:w="39" w:type="dxa"/>
            <w:left w:w="36" w:type="dxa"/>
            <w:right w:w="106" w:type="dxa"/>
          </w:tblCellMar>
        </w:tblPrEx>
        <w:trPr>
          <w:trHeight w:val="547"/>
        </w:trPr>
        <w:tc>
          <w:tcPr>
            <w:tcW w:w="9653" w:type="dxa"/>
          </w:tcPr>
          <w:p w14:paraId="5EA8BA4A" w14:textId="77777777" w:rsidR="001408A8" w:rsidRDefault="001408A8" w:rsidP="00DE052B">
            <w:pPr>
              <w:ind w:left="72"/>
            </w:pPr>
            <w:r>
              <w:rPr>
                <w:b/>
              </w:rPr>
              <w:t xml:space="preserve">Patientens stemme </w:t>
            </w:r>
          </w:p>
          <w:p w14:paraId="09FF84C0" w14:textId="77777777" w:rsidR="001408A8" w:rsidRDefault="001408A8" w:rsidP="00DE052B">
            <w:pPr>
              <w:spacing w:after="1" w:line="239" w:lineRule="auto"/>
              <w:ind w:left="72"/>
            </w:pPr>
            <w:r>
              <w:t>Der er ingen fra bestyrelsen som har tilmeldt sig dette arrangement. Birthe holder oplæg. Ledt efter patienter til paneldebat. Det er lykkedes at skaffe medlemmer til paneldebatten. Stella Sørensen (</w:t>
            </w:r>
            <w:proofErr w:type="spellStart"/>
            <w:r>
              <w:t>Tai-Chi</w:t>
            </w:r>
            <w:proofErr w:type="spellEnd"/>
            <w:r>
              <w:t xml:space="preserve">) + nogle KIU-medlemmer. </w:t>
            </w:r>
          </w:p>
          <w:p w14:paraId="681B9C16" w14:textId="77777777" w:rsidR="001408A8" w:rsidRDefault="001408A8">
            <w:pPr>
              <w:ind w:left="72"/>
              <w:rPr>
                <w:b/>
              </w:rPr>
            </w:pPr>
          </w:p>
        </w:tc>
      </w:tr>
      <w:tr w:rsidR="001408A8" w14:paraId="72C9C893" w14:textId="77777777" w:rsidTr="007534AB">
        <w:tblPrEx>
          <w:tblCellMar>
            <w:top w:w="39" w:type="dxa"/>
            <w:left w:w="36" w:type="dxa"/>
            <w:right w:w="106" w:type="dxa"/>
          </w:tblCellMar>
        </w:tblPrEx>
        <w:trPr>
          <w:trHeight w:val="6833"/>
        </w:trPr>
        <w:tc>
          <w:tcPr>
            <w:tcW w:w="9653" w:type="dxa"/>
          </w:tcPr>
          <w:p w14:paraId="5B1AFE91" w14:textId="77777777" w:rsidR="001408A8" w:rsidRDefault="001408A8" w:rsidP="001408A8">
            <w:pPr>
              <w:ind w:left="72"/>
            </w:pPr>
            <w:r>
              <w:rPr>
                <w:b/>
              </w:rPr>
              <w:t xml:space="preserve">NSGO </w:t>
            </w:r>
          </w:p>
          <w:p w14:paraId="35A4D7D1" w14:textId="77777777" w:rsidR="001408A8" w:rsidRDefault="001408A8" w:rsidP="001408A8">
            <w:pPr>
              <w:spacing w:line="239" w:lineRule="auto"/>
              <w:ind w:left="72"/>
            </w:pPr>
            <w:r>
              <w:t xml:space="preserve">NSGO (Nordic Society of </w:t>
            </w:r>
            <w:proofErr w:type="spellStart"/>
            <w:r>
              <w:t>Gynaecological</w:t>
            </w:r>
            <w:proofErr w:type="spellEnd"/>
            <w:r>
              <w:t xml:space="preserve"> </w:t>
            </w:r>
            <w:proofErr w:type="spellStart"/>
            <w:r>
              <w:t>Oncology</w:t>
            </w:r>
            <w:proofErr w:type="spellEnd"/>
            <w:r>
              <w:t xml:space="preserve">) er det nordiske svar på ESGO. Birthe holder oplæg om patientens perspektiv og vil bl.a. tale om </w:t>
            </w:r>
            <w:proofErr w:type="spellStart"/>
            <w:r>
              <w:t>niraparib</w:t>
            </w:r>
            <w:proofErr w:type="spellEnd"/>
            <w:r>
              <w:t xml:space="preserve">-sagen og kommunikation mellem patient og læge. </w:t>
            </w:r>
          </w:p>
          <w:p w14:paraId="0FF85049" w14:textId="77777777" w:rsidR="001408A8" w:rsidRDefault="001408A8" w:rsidP="001408A8">
            <w:pPr>
              <w:ind w:left="72"/>
            </w:pPr>
            <w:r>
              <w:rPr>
                <w:b/>
              </w:rPr>
              <w:t xml:space="preserve"> </w:t>
            </w:r>
          </w:p>
          <w:p w14:paraId="442CAE73" w14:textId="77777777" w:rsidR="001408A8" w:rsidRDefault="001408A8" w:rsidP="001408A8">
            <w:pPr>
              <w:ind w:left="72"/>
            </w:pPr>
            <w:r>
              <w:rPr>
                <w:b/>
              </w:rPr>
              <w:t xml:space="preserve">Møde med 2curex,  </w:t>
            </w:r>
          </w:p>
          <w:p w14:paraId="7496B665" w14:textId="77777777" w:rsidR="001408A8" w:rsidRDefault="001408A8" w:rsidP="001408A8">
            <w:pPr>
              <w:ind w:left="72"/>
            </w:pPr>
            <w:r>
              <w:t xml:space="preserve">2CureX har udviklet en test – </w:t>
            </w:r>
            <w:proofErr w:type="spellStart"/>
            <w:r>
              <w:t>IndiTreat</w:t>
            </w:r>
            <w:proofErr w:type="spellEnd"/>
            <w:r>
              <w:t xml:space="preserve">, som kan konstatere om medicinen virker på patienten. Man tager en biopsi. Dyrker kræften i en </w:t>
            </w:r>
            <w:proofErr w:type="spellStart"/>
            <w:r>
              <w:t>petri-skål</w:t>
            </w:r>
            <w:proofErr w:type="spellEnd"/>
            <w:r>
              <w:t xml:space="preserve">, og afprøver kræftmedicinen ’ex </w:t>
            </w:r>
            <w:proofErr w:type="spellStart"/>
            <w:r>
              <w:t>vivo</w:t>
            </w:r>
            <w:proofErr w:type="spellEnd"/>
            <w:r>
              <w:t xml:space="preserve">’. </w:t>
            </w:r>
          </w:p>
          <w:p w14:paraId="54E03BB9" w14:textId="77777777" w:rsidR="001408A8" w:rsidRDefault="001408A8" w:rsidP="001408A8">
            <w:pPr>
              <w:ind w:left="72"/>
            </w:pPr>
            <w:r>
              <w:t xml:space="preserve"> </w:t>
            </w:r>
          </w:p>
          <w:p w14:paraId="39600BF0" w14:textId="77777777" w:rsidR="001408A8" w:rsidRDefault="001408A8" w:rsidP="001408A8">
            <w:pPr>
              <w:ind w:left="72"/>
            </w:pPr>
            <w:r>
              <w:rPr>
                <w:b/>
              </w:rPr>
              <w:t xml:space="preserve">Symposium med DGCG </w:t>
            </w:r>
          </w:p>
          <w:p w14:paraId="34B6C6F6" w14:textId="77777777" w:rsidR="001408A8" w:rsidRDefault="001408A8" w:rsidP="001408A8">
            <w:pPr>
              <w:spacing w:line="248" w:lineRule="auto"/>
              <w:ind w:left="72"/>
            </w:pPr>
            <w:r>
              <w:t xml:space="preserve">Er planlagt til den 17. januar 2020 på Rigshospitalet. Programmet vises i det næste KIU-blad.  </w:t>
            </w:r>
          </w:p>
          <w:p w14:paraId="62FB9DDD" w14:textId="77777777" w:rsidR="001408A8" w:rsidRDefault="001408A8" w:rsidP="001408A8">
            <w:pPr>
              <w:ind w:left="72"/>
            </w:pPr>
            <w:r>
              <w:rPr>
                <w:b/>
              </w:rPr>
              <w:t xml:space="preserve"> </w:t>
            </w:r>
          </w:p>
          <w:p w14:paraId="69E40099" w14:textId="77777777" w:rsidR="001408A8" w:rsidRDefault="001408A8" w:rsidP="001408A8">
            <w:pPr>
              <w:ind w:left="72"/>
            </w:pPr>
            <w:r>
              <w:rPr>
                <w:b/>
              </w:rPr>
              <w:t>Trial Nation</w:t>
            </w:r>
            <w:r>
              <w:t xml:space="preserve">. </w:t>
            </w:r>
          </w:p>
          <w:p w14:paraId="6AF7DB33" w14:textId="77777777" w:rsidR="001408A8" w:rsidRDefault="001408A8" w:rsidP="001408A8">
            <w:pPr>
              <w:spacing w:line="248" w:lineRule="auto"/>
              <w:ind w:left="72"/>
            </w:pPr>
            <w:r>
              <w:t xml:space="preserve">Tria Nation arbejder på at udvikle en national oversigt over kliniske forsøg. Denne oversigt skal kunne give både patienter og læger et overblik over, hvilke relevante kliniske forsøg der findes i Danmark, og vil gerne have patientforeningernes deltager i dette arbejde.  Annemarie deltager. </w:t>
            </w:r>
          </w:p>
          <w:p w14:paraId="41A129C4" w14:textId="77777777" w:rsidR="001408A8" w:rsidRDefault="001408A8" w:rsidP="001408A8">
            <w:pPr>
              <w:ind w:left="72"/>
            </w:pPr>
            <w:r>
              <w:rPr>
                <w:b/>
              </w:rPr>
              <w:t xml:space="preserve"> </w:t>
            </w:r>
          </w:p>
          <w:p w14:paraId="5ECC0FF4" w14:textId="77777777" w:rsidR="001408A8" w:rsidRDefault="001408A8" w:rsidP="001408A8">
            <w:pPr>
              <w:ind w:left="72"/>
            </w:pPr>
            <w:r>
              <w:rPr>
                <w:b/>
              </w:rPr>
              <w:t>National politisk kræftkonference 2020</w:t>
            </w:r>
            <w:r>
              <w:t xml:space="preserve">.  </w:t>
            </w:r>
          </w:p>
          <w:p w14:paraId="558CF5FB" w14:textId="7AD19FD0" w:rsidR="001408A8" w:rsidRDefault="001408A8" w:rsidP="001408A8">
            <w:pPr>
              <w:spacing w:after="242" w:line="248" w:lineRule="auto"/>
              <w:ind w:left="72"/>
            </w:pPr>
            <w:r>
              <w:t xml:space="preserve">Konferencen er udsat til den 3.2.2020. og foregår på Børsen i København National kræftkonference.  Mette og Annemarie har tidligere deltaget i forberedelserne. Annemarie deltager i planlægningsmødet den 29.11.19 </w:t>
            </w:r>
          </w:p>
          <w:p w14:paraId="09FCB59C" w14:textId="762E392E" w:rsidR="00FB689F" w:rsidRPr="00FB689F" w:rsidRDefault="00FB689F" w:rsidP="001F6000">
            <w:pPr>
              <w:ind w:left="72"/>
              <w:rPr>
                <w:b/>
              </w:rPr>
            </w:pPr>
            <w:r w:rsidRPr="00FB689F">
              <w:rPr>
                <w:b/>
              </w:rPr>
              <w:t>Lever Medicinrådet op til forventningerne</w:t>
            </w:r>
          </w:p>
          <w:p w14:paraId="012D58E2" w14:textId="46BDD78A" w:rsidR="001408A8" w:rsidRDefault="00FB689F" w:rsidP="001408A8">
            <w:pPr>
              <w:ind w:left="72"/>
            </w:pPr>
            <w:r w:rsidRPr="001F6000">
              <w:rPr>
                <w:bCs/>
              </w:rPr>
              <w:t>D</w:t>
            </w:r>
            <w:r w:rsidR="001408A8" w:rsidRPr="001F6000">
              <w:rPr>
                <w:bCs/>
              </w:rPr>
              <w:t xml:space="preserve">en 4.12.19. Debat med titlen Lever Medicinrådet op til forventningerne arrangeret af journalist Kristian Lund, </w:t>
            </w:r>
            <w:proofErr w:type="spellStart"/>
            <w:r w:rsidR="001408A8" w:rsidRPr="001F6000">
              <w:rPr>
                <w:bCs/>
              </w:rPr>
              <w:t>ProPatienter</w:t>
            </w:r>
            <w:proofErr w:type="spellEnd"/>
            <w:r w:rsidR="001408A8" w:rsidRPr="001F6000">
              <w:rPr>
                <w:bCs/>
              </w:rPr>
              <w:t xml:space="preserve">, </w:t>
            </w:r>
            <w:r w:rsidR="001408A8">
              <w:t>Sundhedspolitisk Tidsskrift, Onkologisk Tidsskrift osv. Birthe og Lisbeth fra Lungekræftforeningen bliver interviewet i debatten.</w:t>
            </w:r>
          </w:p>
        </w:tc>
      </w:tr>
      <w:tr w:rsidR="008D61FA" w14:paraId="140A11A1" w14:textId="77777777" w:rsidTr="007534AB">
        <w:tblPrEx>
          <w:tblCellMar>
            <w:right w:w="58" w:type="dxa"/>
          </w:tblCellMar>
        </w:tblPrEx>
        <w:trPr>
          <w:trHeight w:val="475"/>
        </w:trPr>
        <w:tc>
          <w:tcPr>
            <w:tcW w:w="9653" w:type="dxa"/>
          </w:tcPr>
          <w:p w14:paraId="3DC89ABC" w14:textId="77777777" w:rsidR="008D61FA" w:rsidRPr="007534AB" w:rsidRDefault="008D61FA" w:rsidP="008D61FA">
            <w:pPr>
              <w:rPr>
                <w:b/>
                <w:sz w:val="24"/>
                <w:szCs w:val="24"/>
              </w:rPr>
            </w:pPr>
            <w:r w:rsidRPr="008D61FA">
              <w:rPr>
                <w:b/>
                <w:sz w:val="24"/>
                <w:szCs w:val="24"/>
              </w:rPr>
              <w:t xml:space="preserve">Kontakt til behandlingscentrene vedr. pjecer og blade </w:t>
            </w:r>
          </w:p>
        </w:tc>
      </w:tr>
      <w:tr w:rsidR="008D61FA" w14:paraId="7FA760F0" w14:textId="77777777" w:rsidTr="007534AB">
        <w:tblPrEx>
          <w:tblCellMar>
            <w:right w:w="58" w:type="dxa"/>
          </w:tblCellMar>
        </w:tblPrEx>
        <w:trPr>
          <w:trHeight w:val="516"/>
        </w:trPr>
        <w:tc>
          <w:tcPr>
            <w:tcW w:w="9653" w:type="dxa"/>
          </w:tcPr>
          <w:p w14:paraId="7623C8A5" w14:textId="77777777" w:rsidR="008D61FA" w:rsidRDefault="008D61FA" w:rsidP="009B1242">
            <w:pPr>
              <w:rPr>
                <w:rFonts w:ascii="Arial" w:eastAsia="Arial" w:hAnsi="Arial" w:cs="Arial"/>
                <w:sz w:val="20"/>
              </w:rPr>
            </w:pPr>
            <w:r>
              <w:t>Dejlig positiv kontakt til de forskellige kræftafdelinger.</w:t>
            </w:r>
            <w:r>
              <w:rPr>
                <w:rFonts w:ascii="Arial" w:eastAsia="Arial" w:hAnsi="Arial" w:cs="Arial"/>
                <w:sz w:val="20"/>
              </w:rPr>
              <w:t xml:space="preserve"> </w:t>
            </w:r>
          </w:p>
          <w:p w14:paraId="48D18FF8" w14:textId="55D55F5F" w:rsidR="008D61FA" w:rsidRDefault="008D61FA" w:rsidP="009B1242"/>
        </w:tc>
      </w:tr>
    </w:tbl>
    <w:p w14:paraId="2BAD4069" w14:textId="77777777" w:rsidR="00DE0F83" w:rsidRDefault="005E26B9">
      <w:pPr>
        <w:spacing w:after="0"/>
        <w:ind w:left="-307"/>
        <w:jc w:val="both"/>
      </w:pPr>
      <w:r>
        <w:t xml:space="preserve"> </w:t>
      </w:r>
    </w:p>
    <w:sectPr w:rsidR="00DE0F83" w:rsidSect="0003291D">
      <w:headerReference w:type="even" r:id="rId6"/>
      <w:headerReference w:type="default" r:id="rId7"/>
      <w:footerReference w:type="even" r:id="rId8"/>
      <w:footerReference w:type="default" r:id="rId9"/>
      <w:headerReference w:type="first" r:id="rId10"/>
      <w:footerReference w:type="first" r:id="rId11"/>
      <w:pgSz w:w="11906" w:h="16838" w:code="9"/>
      <w:pgMar w:top="1814" w:right="1440" w:bottom="1440" w:left="1440" w:header="454" w:footer="5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53A3" w14:textId="77777777" w:rsidR="006A5B23" w:rsidRDefault="006A5B23">
      <w:pPr>
        <w:spacing w:after="0" w:line="240" w:lineRule="auto"/>
      </w:pPr>
      <w:r>
        <w:separator/>
      </w:r>
    </w:p>
  </w:endnote>
  <w:endnote w:type="continuationSeparator" w:id="0">
    <w:p w14:paraId="53D7B514" w14:textId="77777777" w:rsidR="006A5B23" w:rsidRDefault="006A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28B0" w14:textId="77777777" w:rsidR="00DE0F83" w:rsidRDefault="005E26B9">
    <w:pPr>
      <w:spacing w:after="0"/>
      <w:ind w:left="-307"/>
    </w:pPr>
    <w:r>
      <w:rPr>
        <w:noProof/>
      </w:rPr>
      <w:drawing>
        <wp:anchor distT="0" distB="0" distL="114300" distR="114300" simplePos="0" relativeHeight="251661312" behindDoc="0" locked="0" layoutInCell="1" allowOverlap="0" wp14:anchorId="45002539" wp14:editId="31A0D8C5">
          <wp:simplePos x="0" y="0"/>
          <wp:positionH relativeFrom="page">
            <wp:posOffset>6217920</wp:posOffset>
          </wp:positionH>
          <wp:positionV relativeFrom="page">
            <wp:posOffset>9750425</wp:posOffset>
          </wp:positionV>
          <wp:extent cx="863600" cy="57404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863600" cy="574040"/>
                  </a:xfrm>
                  <a:prstGeom prst="rect">
                    <a:avLst/>
                  </a:prstGeom>
                </pic:spPr>
              </pic:pic>
            </a:graphicData>
          </a:graphic>
        </wp:anchor>
      </w:drawing>
    </w:r>
    <w:r>
      <w:t xml:space="preserve"> 4. december 2019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2AB9" w14:textId="77777777" w:rsidR="00DE0F83" w:rsidRDefault="005E26B9">
    <w:pPr>
      <w:spacing w:after="0"/>
      <w:ind w:left="-307"/>
    </w:pPr>
    <w:r>
      <w:rPr>
        <w:noProof/>
      </w:rPr>
      <w:drawing>
        <wp:anchor distT="0" distB="0" distL="114300" distR="114300" simplePos="0" relativeHeight="251662336" behindDoc="0" locked="0" layoutInCell="1" allowOverlap="0" wp14:anchorId="02A8C7F9" wp14:editId="200C5D19">
          <wp:simplePos x="0" y="0"/>
          <wp:positionH relativeFrom="page">
            <wp:posOffset>6217920</wp:posOffset>
          </wp:positionH>
          <wp:positionV relativeFrom="page">
            <wp:posOffset>9750425</wp:posOffset>
          </wp:positionV>
          <wp:extent cx="863600" cy="574040"/>
          <wp:effectExtent l="0" t="0" r="0" b="0"/>
          <wp:wrapSquare wrapText="bothSides"/>
          <wp:docPr id="2"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863600" cy="574040"/>
                  </a:xfrm>
                  <a:prstGeom prst="rect">
                    <a:avLst/>
                  </a:prstGeom>
                </pic:spPr>
              </pic:pic>
            </a:graphicData>
          </a:graphic>
        </wp:anchor>
      </w:drawing>
    </w:r>
    <w:r>
      <w:t xml:space="preserve"> 4. december 2019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7225" w14:textId="77777777" w:rsidR="00DE0F83" w:rsidRDefault="005E26B9">
    <w:pPr>
      <w:spacing w:after="0"/>
      <w:ind w:left="-307"/>
    </w:pPr>
    <w:r>
      <w:rPr>
        <w:noProof/>
      </w:rPr>
      <w:drawing>
        <wp:anchor distT="0" distB="0" distL="114300" distR="114300" simplePos="0" relativeHeight="251663360" behindDoc="0" locked="0" layoutInCell="1" allowOverlap="0" wp14:anchorId="49DC2CE3" wp14:editId="1EB2E5FF">
          <wp:simplePos x="0" y="0"/>
          <wp:positionH relativeFrom="page">
            <wp:posOffset>6217920</wp:posOffset>
          </wp:positionH>
          <wp:positionV relativeFrom="page">
            <wp:posOffset>9750425</wp:posOffset>
          </wp:positionV>
          <wp:extent cx="863600" cy="574040"/>
          <wp:effectExtent l="0" t="0" r="0" b="0"/>
          <wp:wrapSquare wrapText="bothSides"/>
          <wp:docPr id="3"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863600" cy="574040"/>
                  </a:xfrm>
                  <a:prstGeom prst="rect">
                    <a:avLst/>
                  </a:prstGeom>
                </pic:spPr>
              </pic:pic>
            </a:graphicData>
          </a:graphic>
        </wp:anchor>
      </w:drawing>
    </w:r>
    <w:r>
      <w:t xml:space="preserve"> 4. december 2019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5811" w14:textId="77777777" w:rsidR="006A5B23" w:rsidRDefault="006A5B23">
      <w:pPr>
        <w:spacing w:after="0" w:line="240" w:lineRule="auto"/>
      </w:pPr>
      <w:r>
        <w:separator/>
      </w:r>
    </w:p>
  </w:footnote>
  <w:footnote w:type="continuationSeparator" w:id="0">
    <w:p w14:paraId="2ACBF8B3" w14:textId="77777777" w:rsidR="006A5B23" w:rsidRDefault="006A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D212" w14:textId="77777777" w:rsidR="00DE0F83" w:rsidRDefault="005E26B9">
    <w:pPr>
      <w:tabs>
        <w:tab w:val="center" w:pos="4514"/>
      </w:tabs>
      <w:spacing w:after="31"/>
      <w:ind w:left="-307"/>
    </w:pPr>
    <w:r>
      <w:rPr>
        <w:noProof/>
      </w:rPr>
      <w:drawing>
        <wp:anchor distT="0" distB="0" distL="114300" distR="114300" simplePos="0" relativeHeight="251658240" behindDoc="0" locked="0" layoutInCell="1" allowOverlap="0" wp14:anchorId="0FC9EFCE" wp14:editId="51017C9D">
          <wp:simplePos x="0" y="0"/>
          <wp:positionH relativeFrom="page">
            <wp:posOffset>5760720</wp:posOffset>
          </wp:positionH>
          <wp:positionV relativeFrom="page">
            <wp:posOffset>180340</wp:posOffset>
          </wp:positionV>
          <wp:extent cx="1417955" cy="866775"/>
          <wp:effectExtent l="0" t="0" r="0" b="0"/>
          <wp:wrapSquare wrapText="bothSides"/>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1"/>
                  <a:stretch>
                    <a:fillRect/>
                  </a:stretch>
                </pic:blipFill>
                <pic:spPr>
                  <a:xfrm>
                    <a:off x="0" y="0"/>
                    <a:ext cx="1417955" cy="866775"/>
                  </a:xfrm>
                  <a:prstGeom prst="rect">
                    <a:avLst/>
                  </a:prstGeom>
                </pic:spPr>
              </pic:pic>
            </a:graphicData>
          </a:graphic>
        </wp:anchor>
      </w:drawing>
    </w:r>
    <w:r>
      <w:rPr>
        <w:color w:val="36AAB9"/>
        <w:sz w:val="18"/>
      </w:rPr>
      <w:t xml:space="preserve"> </w:t>
    </w:r>
    <w:r>
      <w:rPr>
        <w:color w:val="36AAB9"/>
        <w:sz w:val="18"/>
      </w:rPr>
      <w:tab/>
    </w:r>
    <w:r>
      <w:t xml:space="preserve">Side </w:t>
    </w:r>
    <w:r>
      <w:fldChar w:fldCharType="begin"/>
    </w:r>
    <w:r>
      <w:instrText xml:space="preserve"> PAGE   \* MERGEFORMAT </w:instrText>
    </w:r>
    <w:r>
      <w:fldChar w:fldCharType="separate"/>
    </w:r>
    <w:r>
      <w:t>2</w:t>
    </w:r>
    <w:r>
      <w:fldChar w:fldCharType="end"/>
    </w:r>
    <w:r>
      <w:t xml:space="preserve"> af </w:t>
    </w:r>
    <w:r w:rsidR="005B3861">
      <w:fldChar w:fldCharType="begin"/>
    </w:r>
    <w:r w:rsidR="005B3861">
      <w:instrText xml:space="preserve"> NUMPAGES   \* MERGEFORMAT </w:instrText>
    </w:r>
    <w:r w:rsidR="005B3861">
      <w:fldChar w:fldCharType="separate"/>
    </w:r>
    <w:r>
      <w:t>9</w:t>
    </w:r>
    <w:r w:rsidR="005B3861">
      <w:fldChar w:fldCharType="end"/>
    </w:r>
    <w:r>
      <w:t xml:space="preserve"> </w:t>
    </w:r>
  </w:p>
  <w:p w14:paraId="37A0D9AD" w14:textId="77777777" w:rsidR="00DE0F83" w:rsidRDefault="005E26B9">
    <w:pPr>
      <w:spacing w:after="0"/>
      <w:ind w:left="5932"/>
      <w:jc w:val="center"/>
    </w:pPr>
    <w:r>
      <w:rPr>
        <w:rFonts w:ascii="Arial" w:eastAsia="Arial" w:hAnsi="Arial" w:cs="Arial"/>
        <w:color w:val="36AAB9"/>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AF3A" w14:textId="06EB22E1" w:rsidR="00DE0F83" w:rsidRDefault="005E26B9">
    <w:pPr>
      <w:tabs>
        <w:tab w:val="center" w:pos="4514"/>
      </w:tabs>
      <w:spacing w:after="31"/>
      <w:ind w:left="-307"/>
    </w:pPr>
    <w:r>
      <w:rPr>
        <w:noProof/>
      </w:rPr>
      <w:drawing>
        <wp:anchor distT="0" distB="0" distL="114300" distR="114300" simplePos="0" relativeHeight="251664384" behindDoc="1" locked="0" layoutInCell="1" allowOverlap="0" wp14:anchorId="41167784" wp14:editId="4D345289">
          <wp:simplePos x="0" y="0"/>
          <wp:positionH relativeFrom="page">
            <wp:posOffset>5759450</wp:posOffset>
          </wp:positionH>
          <wp:positionV relativeFrom="page">
            <wp:posOffset>120650</wp:posOffset>
          </wp:positionV>
          <wp:extent cx="1260000" cy="770712"/>
          <wp:effectExtent l="0" t="0" r="0" b="0"/>
          <wp:wrapTight wrapText="bothSides">
            <wp:wrapPolygon edited="0">
              <wp:start x="0" y="0"/>
              <wp:lineTo x="0" y="20834"/>
              <wp:lineTo x="21230" y="20834"/>
              <wp:lineTo x="21230" y="0"/>
              <wp:lineTo x="0" y="0"/>
            </wp:wrapPolygon>
          </wp:wrapTight>
          <wp:docPr id="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1"/>
                  <a:stretch>
                    <a:fillRect/>
                  </a:stretch>
                </pic:blipFill>
                <pic:spPr>
                  <a:xfrm>
                    <a:off x="0" y="0"/>
                    <a:ext cx="1260000" cy="770712"/>
                  </a:xfrm>
                  <a:prstGeom prst="rect">
                    <a:avLst/>
                  </a:prstGeom>
                </pic:spPr>
              </pic:pic>
            </a:graphicData>
          </a:graphic>
          <wp14:sizeRelH relativeFrom="margin">
            <wp14:pctWidth>0</wp14:pctWidth>
          </wp14:sizeRelH>
          <wp14:sizeRelV relativeFrom="margin">
            <wp14:pctHeight>0</wp14:pctHeight>
          </wp14:sizeRelV>
        </wp:anchor>
      </w:drawing>
    </w:r>
    <w:r>
      <w:rPr>
        <w:color w:val="36AAB9"/>
        <w:sz w:val="18"/>
      </w:rPr>
      <w:t xml:space="preserve"> </w:t>
    </w:r>
    <w:r>
      <w:t xml:space="preserve"> </w:t>
    </w:r>
  </w:p>
  <w:p w14:paraId="62DDFC6A" w14:textId="56378F96" w:rsidR="00DE0F83" w:rsidRPr="0003291D" w:rsidRDefault="0003291D" w:rsidP="0003291D">
    <w:pPr>
      <w:spacing w:after="0"/>
      <w:jc w:val="center"/>
      <w:rPr>
        <w:rFonts w:asciiTheme="minorHAnsi" w:hAnsiTheme="minorHAnsi" w:cstheme="minorHAnsi"/>
        <w:color w:val="auto"/>
      </w:rPr>
    </w:pPr>
    <w:r w:rsidRPr="0003291D">
      <w:rPr>
        <w:rFonts w:asciiTheme="minorHAnsi" w:eastAsia="Arial" w:hAnsiTheme="minorHAnsi" w:cstheme="minorHAnsi"/>
        <w:color w:val="auto"/>
      </w:rPr>
      <w:t xml:space="preserve">Side </w:t>
    </w:r>
    <w:r w:rsidRPr="0003291D">
      <w:rPr>
        <w:rFonts w:asciiTheme="minorHAnsi" w:eastAsia="Arial" w:hAnsiTheme="minorHAnsi" w:cstheme="minorHAnsi"/>
        <w:color w:val="auto"/>
      </w:rPr>
      <w:fldChar w:fldCharType="begin"/>
    </w:r>
    <w:r w:rsidRPr="0003291D">
      <w:rPr>
        <w:rFonts w:asciiTheme="minorHAnsi" w:eastAsia="Arial" w:hAnsiTheme="minorHAnsi" w:cstheme="minorHAnsi"/>
        <w:color w:val="auto"/>
      </w:rPr>
      <w:instrText>PAGE  \* Arabic  \* MERGEFORMAT</w:instrText>
    </w:r>
    <w:r w:rsidRPr="0003291D">
      <w:rPr>
        <w:rFonts w:asciiTheme="minorHAnsi" w:eastAsia="Arial" w:hAnsiTheme="minorHAnsi" w:cstheme="minorHAnsi"/>
        <w:color w:val="auto"/>
      </w:rPr>
      <w:fldChar w:fldCharType="separate"/>
    </w:r>
    <w:r w:rsidRPr="0003291D">
      <w:rPr>
        <w:rFonts w:asciiTheme="minorHAnsi" w:eastAsia="Arial" w:hAnsiTheme="minorHAnsi" w:cstheme="minorHAnsi"/>
        <w:color w:val="auto"/>
      </w:rPr>
      <w:t>1</w:t>
    </w:r>
    <w:r w:rsidRPr="0003291D">
      <w:rPr>
        <w:rFonts w:asciiTheme="minorHAnsi" w:eastAsia="Arial" w:hAnsiTheme="minorHAnsi" w:cstheme="minorHAnsi"/>
        <w:color w:val="auto"/>
      </w:rPr>
      <w:fldChar w:fldCharType="end"/>
    </w:r>
    <w:r w:rsidRPr="0003291D">
      <w:rPr>
        <w:rFonts w:asciiTheme="minorHAnsi" w:eastAsia="Arial" w:hAnsiTheme="minorHAnsi" w:cstheme="minorHAnsi"/>
        <w:color w:val="auto"/>
      </w:rPr>
      <w:t xml:space="preserve"> af </w:t>
    </w:r>
    <w:r w:rsidRPr="0003291D">
      <w:rPr>
        <w:rFonts w:asciiTheme="minorHAnsi" w:eastAsia="Arial" w:hAnsiTheme="minorHAnsi" w:cstheme="minorHAnsi"/>
        <w:color w:val="auto"/>
      </w:rPr>
      <w:fldChar w:fldCharType="begin"/>
    </w:r>
    <w:r w:rsidRPr="0003291D">
      <w:rPr>
        <w:rFonts w:asciiTheme="minorHAnsi" w:eastAsia="Arial" w:hAnsiTheme="minorHAnsi" w:cstheme="minorHAnsi"/>
        <w:color w:val="auto"/>
      </w:rPr>
      <w:instrText>NUMPAGES  \* Arabic  \* MERGEFORMAT</w:instrText>
    </w:r>
    <w:r w:rsidRPr="0003291D">
      <w:rPr>
        <w:rFonts w:asciiTheme="minorHAnsi" w:eastAsia="Arial" w:hAnsiTheme="minorHAnsi" w:cstheme="minorHAnsi"/>
        <w:color w:val="auto"/>
      </w:rPr>
      <w:fldChar w:fldCharType="separate"/>
    </w:r>
    <w:r w:rsidRPr="0003291D">
      <w:rPr>
        <w:rFonts w:asciiTheme="minorHAnsi" w:eastAsia="Arial" w:hAnsiTheme="minorHAnsi" w:cstheme="minorHAnsi"/>
        <w:color w:val="auto"/>
      </w:rPr>
      <w:t>2</w:t>
    </w:r>
    <w:r w:rsidRPr="0003291D">
      <w:rPr>
        <w:rFonts w:asciiTheme="minorHAnsi" w:eastAsia="Arial" w:hAnsiTheme="minorHAnsi" w:cstheme="minorHAnsi"/>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5F5D" w14:textId="77777777" w:rsidR="00DE0F83" w:rsidRDefault="005E26B9">
    <w:pPr>
      <w:tabs>
        <w:tab w:val="center" w:pos="4514"/>
      </w:tabs>
      <w:spacing w:after="0"/>
      <w:ind w:left="-307"/>
    </w:pPr>
    <w:r>
      <w:rPr>
        <w:noProof/>
      </w:rPr>
      <w:drawing>
        <wp:anchor distT="0" distB="0" distL="114300" distR="114300" simplePos="0" relativeHeight="251660288" behindDoc="0" locked="0" layoutInCell="1" allowOverlap="0" wp14:anchorId="155C400F" wp14:editId="0F123DDE">
          <wp:simplePos x="0" y="0"/>
          <wp:positionH relativeFrom="page">
            <wp:posOffset>5760720</wp:posOffset>
          </wp:positionH>
          <wp:positionV relativeFrom="page">
            <wp:posOffset>180340</wp:posOffset>
          </wp:positionV>
          <wp:extent cx="1417955" cy="86677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417955" cy="866775"/>
                  </a:xfrm>
                  <a:prstGeom prst="rect">
                    <a:avLst/>
                  </a:prstGeom>
                </pic:spPr>
              </pic:pic>
            </a:graphicData>
          </a:graphic>
        </wp:anchor>
      </w:drawing>
    </w:r>
    <w:r>
      <w:rPr>
        <w:color w:val="36AAB9"/>
        <w:sz w:val="18"/>
      </w:rPr>
      <w:t xml:space="preserve"> </w:t>
    </w:r>
    <w:r>
      <w:rPr>
        <w:color w:val="36AAB9"/>
        <w:sz w:val="18"/>
      </w:rPr>
      <w:tab/>
    </w:r>
    <w:r>
      <w:t xml:space="preserve">Side </w:t>
    </w:r>
    <w:r>
      <w:fldChar w:fldCharType="begin"/>
    </w:r>
    <w:r>
      <w:instrText xml:space="preserve"> PAGE   \* MERGEFORMAT </w:instrText>
    </w:r>
    <w:r>
      <w:fldChar w:fldCharType="separate"/>
    </w:r>
    <w:r>
      <w:t>1</w:t>
    </w:r>
    <w:r>
      <w:fldChar w:fldCharType="end"/>
    </w:r>
    <w:r>
      <w:t xml:space="preserve"> af </w:t>
    </w:r>
    <w:r w:rsidR="005B3861">
      <w:fldChar w:fldCharType="begin"/>
    </w:r>
    <w:r w:rsidR="005B3861">
      <w:instrText xml:space="preserve"> NUMPAGES   \* MERGEFORMAT </w:instrText>
    </w:r>
    <w:r w:rsidR="005B3861">
      <w:fldChar w:fldCharType="separate"/>
    </w:r>
    <w:r>
      <w:t>9</w:t>
    </w:r>
    <w:r w:rsidR="005B3861">
      <w:fldChar w:fldCharType="end"/>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83"/>
    <w:rsid w:val="00000222"/>
    <w:rsid w:val="0003291D"/>
    <w:rsid w:val="000618E9"/>
    <w:rsid w:val="00077CFD"/>
    <w:rsid w:val="000C3DD3"/>
    <w:rsid w:val="00104BCE"/>
    <w:rsid w:val="001408A8"/>
    <w:rsid w:val="001C60B4"/>
    <w:rsid w:val="001F6000"/>
    <w:rsid w:val="002A5AE0"/>
    <w:rsid w:val="00326F95"/>
    <w:rsid w:val="003466BC"/>
    <w:rsid w:val="003E54BE"/>
    <w:rsid w:val="003F0D70"/>
    <w:rsid w:val="0048426E"/>
    <w:rsid w:val="00493A27"/>
    <w:rsid w:val="005818C3"/>
    <w:rsid w:val="00582546"/>
    <w:rsid w:val="005B3861"/>
    <w:rsid w:val="005E26B9"/>
    <w:rsid w:val="006A5B23"/>
    <w:rsid w:val="007534AB"/>
    <w:rsid w:val="007B3996"/>
    <w:rsid w:val="007B482B"/>
    <w:rsid w:val="00801B59"/>
    <w:rsid w:val="0089640E"/>
    <w:rsid w:val="008A2C86"/>
    <w:rsid w:val="008B1599"/>
    <w:rsid w:val="008D61FA"/>
    <w:rsid w:val="00906E64"/>
    <w:rsid w:val="0095062D"/>
    <w:rsid w:val="00957410"/>
    <w:rsid w:val="00993DA7"/>
    <w:rsid w:val="009B1242"/>
    <w:rsid w:val="009D54BD"/>
    <w:rsid w:val="00A7502C"/>
    <w:rsid w:val="00B30869"/>
    <w:rsid w:val="00B53238"/>
    <w:rsid w:val="00B831F5"/>
    <w:rsid w:val="00BF20AA"/>
    <w:rsid w:val="00C67062"/>
    <w:rsid w:val="00D654B9"/>
    <w:rsid w:val="00D868CE"/>
    <w:rsid w:val="00DE052B"/>
    <w:rsid w:val="00DE0F83"/>
    <w:rsid w:val="00E77850"/>
    <w:rsid w:val="00ED0A8C"/>
    <w:rsid w:val="00ED3E83"/>
    <w:rsid w:val="00EF50B5"/>
    <w:rsid w:val="00F948C5"/>
    <w:rsid w:val="00FB689F"/>
    <w:rsid w:val="00FE12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81110"/>
  <w15:docId w15:val="{9A189769-64A6-43CD-B8F1-A51E065D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0190">
      <w:bodyDiv w:val="1"/>
      <w:marLeft w:val="0"/>
      <w:marRight w:val="0"/>
      <w:marTop w:val="0"/>
      <w:marBottom w:val="0"/>
      <w:divBdr>
        <w:top w:val="none" w:sz="0" w:space="0" w:color="auto"/>
        <w:left w:val="none" w:sz="0" w:space="0" w:color="auto"/>
        <w:bottom w:val="none" w:sz="0" w:space="0" w:color="auto"/>
        <w:right w:val="none" w:sz="0" w:space="0" w:color="auto"/>
      </w:divBdr>
    </w:div>
    <w:div w:id="602104195">
      <w:bodyDiv w:val="1"/>
      <w:marLeft w:val="0"/>
      <w:marRight w:val="0"/>
      <w:marTop w:val="0"/>
      <w:marBottom w:val="0"/>
      <w:divBdr>
        <w:top w:val="none" w:sz="0" w:space="0" w:color="auto"/>
        <w:left w:val="none" w:sz="0" w:space="0" w:color="auto"/>
        <w:bottom w:val="none" w:sz="0" w:space="0" w:color="auto"/>
        <w:right w:val="none" w:sz="0" w:space="0" w:color="auto"/>
      </w:divBdr>
    </w:div>
    <w:div w:id="138098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611</Words>
  <Characters>3732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Kiuonline-Administration</dc:creator>
  <cp:keywords/>
  <cp:lastModifiedBy>Birthe Lemley</cp:lastModifiedBy>
  <cp:revision>2</cp:revision>
  <cp:lastPrinted>2019-12-06T11:30:00Z</cp:lastPrinted>
  <dcterms:created xsi:type="dcterms:W3CDTF">2020-01-02T14:17:00Z</dcterms:created>
  <dcterms:modified xsi:type="dcterms:W3CDTF">2020-01-02T14:17:00Z</dcterms:modified>
</cp:coreProperties>
</file>